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DC" w:rsidRPr="00874CDC" w:rsidRDefault="00874CDC" w:rsidP="00874CDC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874CDC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874CDC" w:rsidRPr="00874CDC" w:rsidRDefault="00874CDC" w:rsidP="00874CD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74CD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«Восток»</w:t>
      </w:r>
    </w:p>
    <w:p w:rsidR="00874CDC" w:rsidRPr="00874CDC" w:rsidRDefault="00874CDC" w:rsidP="00874CD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74CD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многоквартирного жилого дома с нежилыми помещениями</w:t>
      </w:r>
    </w:p>
    <w:p w:rsidR="00874CDC" w:rsidRPr="00874CDC" w:rsidRDefault="00874CDC" w:rsidP="00874CD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74CD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строительному адресу:</w:t>
      </w:r>
    </w:p>
    <w:p w:rsidR="00874CDC" w:rsidRPr="00874CDC" w:rsidRDefault="00874CDC" w:rsidP="00874CD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74CD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 Рязанская область, город Рязань, район </w:t>
      </w:r>
      <w:proofErr w:type="spellStart"/>
      <w:r w:rsidRPr="00874CD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Канищево</w:t>
      </w:r>
      <w:proofErr w:type="spellEnd"/>
      <w:r w:rsidRPr="00874CD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, микрорайон-9,</w:t>
      </w:r>
    </w:p>
    <w:p w:rsidR="00874CDC" w:rsidRPr="00874CDC" w:rsidRDefault="00874CDC" w:rsidP="00874CD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proofErr w:type="spellStart"/>
      <w:r w:rsidRPr="00874CD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Семчинская</w:t>
      </w:r>
      <w:proofErr w:type="spellEnd"/>
      <w:r w:rsidRPr="00874CD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улица, дом 4, корпус 3</w:t>
      </w:r>
    </w:p>
    <w:p w:rsidR="00874CDC" w:rsidRPr="00874CDC" w:rsidRDefault="00874CDC" w:rsidP="00874CD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74CD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</w:p>
    <w:p w:rsidR="00874CDC" w:rsidRPr="00874CDC" w:rsidRDefault="00874CDC" w:rsidP="00874CD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874CDC" w:rsidRPr="00874CDC" w:rsidRDefault="00874CDC" w:rsidP="00874CD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74CDC">
        <w:rPr>
          <w:rFonts w:ascii="Calibri" w:eastAsia="Times New Roman" w:hAnsi="Calibri" w:cs="Calibri"/>
          <w:b/>
          <w:bCs/>
          <w:color w:val="60534C"/>
          <w:sz w:val="10"/>
          <w:szCs w:val="10"/>
          <w:lang w:eastAsia="ru-RU"/>
        </w:rPr>
        <w:t> </w:t>
      </w:r>
    </w:p>
    <w:p w:rsidR="00874CDC" w:rsidRPr="00874CDC" w:rsidRDefault="00874CDC" w:rsidP="00874CD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74CD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204"/>
      </w:tblGrid>
      <w:tr w:rsidR="00874CDC" w:rsidRPr="00874CDC" w:rsidTr="00874CDC">
        <w:trPr>
          <w:trHeight w:val="1588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 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«Восток».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(место нахождения): 391133, Рязанская область,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Рыбновский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с. Новоселки.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ООО «Группа компаний «ЕДИНСТВО»: 390013, </w:t>
            </w:r>
            <w:r w:rsidRPr="00874CDC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область, г. Рязань, Вокзальная улица, дом 41,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lang w:eastAsia="ru-RU"/>
              </w:rPr>
              <w:t xml:space="preserve"> Н5.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8.00 до 19.00,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09.00 до 14.00,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874CDC" w:rsidRPr="00874CDC" w:rsidTr="00874CD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«Восток»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Межрайонной инспекцией Федеральной налоговой службы №2 по Рязанской области 03 августа 2015 года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1156234011889, ИНН 6213011720, КПП 621301001.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74CDC" w:rsidRPr="00874CDC" w:rsidTr="00874CD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лицо: Хватов Василий Васильевич - 100% голосов.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74CDC" w:rsidRPr="00874CDC" w:rsidTr="00874CDC">
        <w:trPr>
          <w:trHeight w:val="38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осуществляло.</w:t>
            </w:r>
          </w:p>
        </w:tc>
      </w:tr>
      <w:tr w:rsidR="00874CDC" w:rsidRPr="00874CDC" w:rsidTr="00874CD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 декабря 2015 года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Стройтехальянс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 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 </w:t>
            </w: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капитального строительства № 0026.05-2013-6234001868-С-135, выданное СРО НП «Объединение Рязанских строителей» 24 апреля 2013 г. на основании Решения Правления СРО НП «Объединение Рязанских строителей», протокол №124 от 24.04.2013 г. на неограниченный срок.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 декабря 2015 года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Стройпромальянс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заключен </w:t>
            </w: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на выполнение строительного контроля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0027.04-2012-6215015030-С-135, выданное СРО НП «Объединение Рязанских строителей» 19.06.2012 г. на основании Решения Правления СРО НП «Объединение Рязанских строителей», протокол №96 от 19.06.2012 г. на неограниченный срок.</w:t>
            </w:r>
          </w:p>
        </w:tc>
      </w:tr>
      <w:tr w:rsidR="00874CDC" w:rsidRPr="00874CDC" w:rsidTr="00874CD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6. Финансовый результат текущего года, размер </w:t>
            </w: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кредиторской 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lastRenderedPageBreak/>
              <w:t>- Финансовый результат – 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 рублей;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- Размер кредиторской задолженности – 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 рублей;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- Размер дебиторской задолженности – 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5 058 813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 рублей.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874CDC" w:rsidRPr="00874CDC" w:rsidRDefault="00874CDC" w:rsidP="00874CD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74CD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lastRenderedPageBreak/>
        <w:t> </w:t>
      </w:r>
    </w:p>
    <w:p w:rsidR="00874CDC" w:rsidRPr="00874CDC" w:rsidRDefault="00874CDC" w:rsidP="00874CD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74CD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107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8175"/>
      </w:tblGrid>
      <w:tr w:rsidR="00874CDC" w:rsidRPr="00874CDC" w:rsidTr="00874CDC">
        <w:trPr>
          <w:tblCellSpacing w:w="15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жилого дома с нежилыми помещениями по строительному адресу: </w:t>
            </w: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Рязанская область, город Рязань, район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Канищево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микрорайон-9,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Семчинская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улица, дом 4, корпус 3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(далее - «здание дома»).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проекта (срок передачи) – до 30 июня 2018 года включительно.</w:t>
            </w:r>
          </w:p>
        </w:tc>
      </w:tr>
      <w:tr w:rsidR="00874CDC" w:rsidRPr="00874CDC" w:rsidTr="00874CDC">
        <w:trPr>
          <w:tblCellSpacing w:w="15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негосударственной экспертизы №76-1-4-0253-15, утвержденное Генеральным директором ООО «Верхне-Волжский Институт Строительной Экспертизы и Консалтинга» 23 сентября 2015 года.</w:t>
            </w:r>
          </w:p>
        </w:tc>
      </w:tr>
      <w:tr w:rsidR="00874CDC" w:rsidRPr="00874CDC" w:rsidTr="00874CDC">
        <w:trPr>
          <w:tblCellSpacing w:w="15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№62-29-162-2015 от 13 ноября 2015 года, выдано Администрацией города Рязани.</w:t>
            </w:r>
          </w:p>
        </w:tc>
      </w:tr>
      <w:tr w:rsidR="00874CDC" w:rsidRPr="00874CDC" w:rsidTr="00874CDC">
        <w:trPr>
          <w:trHeight w:val="723"/>
          <w:tblCellSpacing w:w="15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Застройщик на праве аренды владеет: 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-земельным участком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земельный участок с кадастровым №62:29:0020005:2798, категория земель – земли населенных пунктов, общей площадью – 6 331 (шесть тысяч триста тридцать один)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адрес: Рязанская область, г. Рязань, р-н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Семчино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(Московский район), (далее – «</w:t>
            </w: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Участок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») на основании Договора аренды от 04.09.2015 года, зарегистрированного Управлением Федеральной службы государственной регистрации, кадастра и картографии по Рязанской области 17.09.2015 года за №62-62/001-62/001/255/2015-786/1.</w:t>
            </w:r>
          </w:p>
          <w:p w:rsidR="00874CDC" w:rsidRPr="00874CDC" w:rsidRDefault="00874CDC" w:rsidP="00874CDC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874CDC" w:rsidRPr="00874CDC" w:rsidRDefault="00874CDC" w:rsidP="00874CDC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Собственник земельного участка</w:t>
            </w: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Участок принадлежит </w:t>
            </w: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Кирсановой А.В. 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праву собственности. Право собственности зарегистрировано в Едином государственном реестре прав на недвижимое имущество и сделок с ним 10.06.2015 г., запись регистрации №62-62/001-62/001/196/2015-4/1.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874CDC" w:rsidRPr="00874CDC" w:rsidTr="00874CDC">
        <w:trPr>
          <w:tblCellSpacing w:w="15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Элементы благоустройства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Проектом предусмотрены элементы благоустройства: площадки для отдыха детей с размещением малых архитектурных форм, контейнерная площадка с твердым покрытием для мусорных контейнеров, устройство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внутридворового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проезда из асфальтобетона, открытая площадка для парковки автотранспорта. Все площадки имеют соответствующие покрытие. Для пешеходной связи разбивается сеть тротуаров. Покрытие проездов и тротуаров асфальтобетонное с бортовым камнем. Территория, свободная от застройки и проездов максимально озеленяется, высаживаются деревья и кустарники.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Предусмотрены мероприятия по обеспечению жизнедеятельности инвалидов и других маломобильных групп населения: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одна из входных групп предусматривает организацию пандуса с уклоном 8%;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вдоль обеих сторон пандуса предусматривается ограждения с поручнями;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предусматривается устройство наклонных подъемников с входной площадки до уровня первого этажа;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 открытой площадке для парковки автомашин выделены места для водителей, относящихся к маломобильным группам населения.</w:t>
            </w:r>
          </w:p>
        </w:tc>
      </w:tr>
      <w:tr w:rsidR="00874CDC" w:rsidRPr="00874CDC" w:rsidTr="00874CDC">
        <w:trPr>
          <w:tblCellSpacing w:w="15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6. Местоположение многоквартирного дома, его описание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943475" cy="3486150"/>
                  <wp:effectExtent l="0" t="0" r="9525" b="0"/>
                  <wp:docPr id="1" name="Рисунок 1" descr="http://old.edinstvo62.ru/houses/117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17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 Площадка строительства здания дома расположена в районе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Семчино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микрорайона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Канищево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города Рязани в вновь организованной жилой зоне. Промышленные предприятия отсутствуют. Памятников историко-культурного наследия на участке и прилегающей территории нет. Здание дома расположено вне пределов охранной зоны и санитарно-защитных зон предприятий и сооружений.</w:t>
            </w:r>
          </w:p>
          <w:p w:rsidR="00874CDC" w:rsidRPr="00874CDC" w:rsidRDefault="00874CDC" w:rsidP="00874CD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Здание дома одно-подъездное, 15-ти этажное с подвальным и техническим этажами. Этажи с 1-15 - жилые. На жилых этажах расположены одно, двухкомнатные квартиры. Вход в жилую часть дома организован с территории двора через две входные группы, расположенные с противоположных фасадов здания.</w:t>
            </w:r>
          </w:p>
          <w:p w:rsidR="00874CDC" w:rsidRPr="00874CDC" w:rsidRDefault="00874CDC" w:rsidP="00874CD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Здание дома с жесткой конструктивной схемой. В качестве несущей системы здания принят кирпичный остов, состоящий из несущих и ненесущих продольных и поперечных кирпичных стен.</w:t>
            </w:r>
          </w:p>
          <w:p w:rsidR="00874CDC" w:rsidRPr="00874CDC" w:rsidRDefault="00874CDC" w:rsidP="00874CD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 Внутренние перегородки –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пазогребниевые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блоки толщиной 90 мм. Межквартирные перегородки толщиной 220 мм.</w:t>
            </w:r>
          </w:p>
          <w:p w:rsidR="00874CDC" w:rsidRPr="00874CDC" w:rsidRDefault="00874CDC" w:rsidP="00874CD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 Наружные стены 1-6 этажей выполнены из одинарного полнотелого керамического кирпича толщиной 770 мм с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онаружным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утеплением. Общая толщина стены 820 мм.</w:t>
            </w:r>
          </w:p>
          <w:p w:rsidR="00874CDC" w:rsidRPr="00874CDC" w:rsidRDefault="00874CDC" w:rsidP="00874CD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Наружные стены 7-15 этажей и технического этажа выполнены из камня крупноформатного пустотелого из пористой керамики толщиной 510 мм с облицовкой керамическим кирпичом толщиной 120 мм. Общая толщина стены 640 мм.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Все квартиры имеют необходимый набор жилых и вспомогательных помещений, ориентация окон обеспечивает нормируемую инсоляцию в соответствии с требованиями СанПиН.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Отопление и горячее водоснабжение квартир – автономное, от индивидуальных поквартирных двухконтурных газовых котлов, расположенных на кухнях. Система отопления квартир принята лучевая. Для учета и контроля расхода газа применяются газовые счетчики с импульсным выходом, устанавливаемые в кухне каждой квартиры и в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теплогенераторной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Отопление нежилых помещений – газовые котлы, установленные в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Горячее водоснабжение нежилых помещений – от электрических водонагревателей.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Здание дома оборудуется системой хозяйственно-питьевого водопровода, подключение которого производится к городской сети. Для учета расхода холодной воды на ответвлениях в каждую квартиру и нежилые помещения установлены счетчики.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       Источником электроснабжения здания дома является ранее существующая трансформаторная подстанция.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 Наружное электроосвещение наружной территории предусматривается светильниками, устанавливаемыми </w:t>
            </w:r>
            <w:proofErr w:type="gram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 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ж.б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опорах.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Для электроснабжения квартир предусмотрены щитки этажные распределения электроэнергии ЩЭ 3, ЩЭ 4, устанавливаемые в нишах стен поэтажных коридоров.</w:t>
            </w:r>
          </w:p>
          <w:p w:rsidR="00874CDC" w:rsidRPr="00874CDC" w:rsidRDefault="00874CDC" w:rsidP="00874CD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В подвальном этаже предполагается размещение инженерных коммуникаций, нежилых помещений.</w:t>
            </w:r>
          </w:p>
          <w:p w:rsidR="00874CDC" w:rsidRPr="00874CDC" w:rsidRDefault="00874CDC" w:rsidP="00874CD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В проектной документации предусмотрено устройство сетей связи: телефонизация, радиофикация, телевидение, диспетчеризация лифтов.</w:t>
            </w:r>
          </w:p>
          <w:p w:rsidR="00874CDC" w:rsidRPr="00874CDC" w:rsidRDefault="00874CDC" w:rsidP="00874CD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В здании дома предусмотрена установка двух пассажирских лифтов. Один лифт грузоподъемностью 400 кг, другой – 1000 кг. Остановки лифтов предусмотрены с 1 по 15 этажи. Шахты лифта имеют смежные стены с помещением квартир.</w:t>
            </w:r>
          </w:p>
          <w:p w:rsidR="00874CDC" w:rsidRPr="00874CDC" w:rsidRDefault="00874CDC" w:rsidP="00874CD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Предусмотрен доступ маломобильных групп населения в здание дома. Размеры входных тамбуров и дверных проемов соответствуют требованиям по доступу инвалидов на креслах-колясках.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Вентиляция квартир и нежилых помещений</w:t>
            </w: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-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приточно-вытяжная с механическим и естественным побуждением.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Фундамент – монолитная железобетонная фундаментная плита.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Кровля – плоская с организованным внутренним водостоком.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Оконные проемы остекляются ПВХ-профилем. Лоджии, балконы остекляются ПВХ или алюминиевым профилем, согласно фасадного решения.</w:t>
            </w:r>
          </w:p>
        </w:tc>
      </w:tr>
      <w:tr w:rsidR="00874CDC" w:rsidRPr="00874CDC" w:rsidTr="00874CDC">
        <w:trPr>
          <w:tblCellSpacing w:w="15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</w:t>
            </w:r>
            <w:r w:rsidRPr="00874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Количество в составе многоквартирного дома самостоятельных частей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Квартир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- 179, из них: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однокомнатных – 120;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двухкомнатных – 59.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74CDC" w:rsidRPr="00874CDC" w:rsidTr="00874CDC">
        <w:trPr>
          <w:tblCellSpacing w:w="15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подвальном этаже 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в местах отсутствия инженерных коммуникаций предусматривается возможность размещения нежилых помещений без конкретного назначения, а также нежилых помещений (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хозяйственных кладовых).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4CDC" w:rsidRPr="00874CDC" w:rsidTr="00874CDC">
        <w:trPr>
          <w:tblCellSpacing w:w="15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крыша, технический этаж, ограждающие несущие и ненесущие конструкции,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узлы ввода и учета воды, тепла, земельный участок.</w:t>
            </w:r>
          </w:p>
        </w:tc>
      </w:tr>
      <w:tr w:rsidR="00874CDC" w:rsidRPr="00874CDC" w:rsidTr="00874CDC">
        <w:trPr>
          <w:tblCellSpacing w:w="15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2017 года.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4CDC" w:rsidRPr="00874CDC" w:rsidTr="00874CDC">
        <w:trPr>
          <w:trHeight w:val="2321"/>
          <w:tblCellSpacing w:w="15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Рязани.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74CDC" w:rsidRPr="00874CDC" w:rsidTr="00874CDC">
        <w:trPr>
          <w:tblCellSpacing w:w="15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любые аналогичные события и обстоятельства, выходящие за рамки контроля Застройщика.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874CDC" w:rsidRPr="00874CDC" w:rsidTr="00874CDC">
        <w:trPr>
          <w:tblCellSpacing w:w="15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211 456 250 рублей</w:t>
            </w:r>
          </w:p>
        </w:tc>
      </w:tr>
      <w:tr w:rsidR="00874CDC" w:rsidRPr="00874CDC" w:rsidTr="00874CDC">
        <w:trPr>
          <w:tblCellSpacing w:w="15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«Апрель»;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ОАО «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РязаньГоргаз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»;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ОАО «МРСК Центра и Приволжья» филиал «Рязаньэнерго»;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Стройпромальянс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Стройтехальянс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А.Н.;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«Водоканал города Рязани»;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«Благоустройство города и дорожного хозяйства администрации города Рязани»;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«Группа компаний «ЕДИНСТВО».</w:t>
            </w:r>
          </w:p>
        </w:tc>
      </w:tr>
      <w:tr w:rsidR="00874CDC" w:rsidRPr="00874CDC" w:rsidTr="00874CDC">
        <w:trPr>
          <w:trHeight w:val="2716"/>
          <w:tblCellSpacing w:w="15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залог – в порядке, установленном статьями 13-15 Закона;</w:t>
            </w:r>
          </w:p>
          <w:p w:rsidR="00874CDC" w:rsidRPr="00874CDC" w:rsidRDefault="00874CDC" w:rsidP="0087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5" w:history="1">
              <w:r w:rsidRPr="00874CDC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статьей 15.2</w:t>
              </w:r>
            </w:hyperlink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Закона.</w:t>
            </w:r>
          </w:p>
        </w:tc>
      </w:tr>
      <w:tr w:rsidR="00874CDC" w:rsidRPr="00874CDC" w:rsidTr="00874CDC">
        <w:trPr>
          <w:tblCellSpacing w:w="15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16. Иные договоры и сделки, на основании которых привлекаются денежные средства для строительства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CDC" w:rsidRPr="00874CDC" w:rsidRDefault="00874CDC" w:rsidP="0087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Договоры займа.</w:t>
            </w:r>
          </w:p>
        </w:tc>
      </w:tr>
    </w:tbl>
    <w:p w:rsidR="00874CDC" w:rsidRPr="00874CDC" w:rsidRDefault="00874CDC" w:rsidP="00874CDC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74CD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lastRenderedPageBreak/>
        <w:t> </w:t>
      </w:r>
    </w:p>
    <w:p w:rsidR="00A4368D" w:rsidRDefault="00874CDC" w:rsidP="00874CDC">
      <w:r w:rsidRPr="00874CD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31 декабря 2015 года.</w:t>
      </w:r>
      <w:r w:rsidRPr="00874CD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874CD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874CD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874CDC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Проектная декларация в данной редакции опубликована в сети Интернет на сайте </w:t>
      </w:r>
      <w:hyperlink r:id="rId6" w:history="1">
        <w:r w:rsidRPr="00874CDC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874CDC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31 декабря 2015 года.</w:t>
      </w:r>
    </w:p>
    <w:sectPr w:rsidR="00A4368D" w:rsidSect="00874CD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DC"/>
    <w:rsid w:val="00874CDC"/>
    <w:rsid w:val="00A4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C577-A286-4486-B9E7-5A29AB1F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4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CDC"/>
    <w:rPr>
      <w:b/>
      <w:bCs/>
    </w:rPr>
  </w:style>
  <w:style w:type="character" w:customStyle="1" w:styleId="apple-converted-space">
    <w:name w:val="apple-converted-space"/>
    <w:basedOn w:val="a0"/>
    <w:rsid w:val="00874CDC"/>
  </w:style>
  <w:style w:type="character" w:styleId="a5">
    <w:name w:val="Hyperlink"/>
    <w:basedOn w:val="a0"/>
    <w:uiPriority w:val="99"/>
    <w:semiHidden/>
    <w:unhideWhenUsed/>
    <w:rsid w:val="00874CDC"/>
    <w:rPr>
      <w:color w:val="0000FF"/>
      <w:u w:val="single"/>
    </w:rPr>
  </w:style>
  <w:style w:type="character" w:styleId="a6">
    <w:name w:val="Emphasis"/>
    <w:basedOn w:val="a0"/>
    <w:uiPriority w:val="20"/>
    <w:qFormat/>
    <w:rsid w:val="00874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nstvo62.ru/" TargetMode="External"/><Relationship Id="rId5" Type="http://schemas.openxmlformats.org/officeDocument/2006/relationships/hyperlink" Target="consultantplus://offline/ref=8145187AAF29202C0525DB63FF0F033A5751D68194CC0D6DDBC30E3CE8662E9DF8AD8999n9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10592</Characters>
  <Application>Microsoft Office Word</Application>
  <DocSecurity>0</DocSecurity>
  <Lines>88</Lines>
  <Paragraphs>24</Paragraphs>
  <ScaleCrop>false</ScaleCrop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2017-06-09T11:30:00Z</dcterms:created>
  <dcterms:modified xsi:type="dcterms:W3CDTF">2017-06-09T11:30:00Z</dcterms:modified>
</cp:coreProperties>
</file>